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7" w:rsidRPr="009862F7" w:rsidRDefault="009862F7" w:rsidP="009862F7">
      <w:pPr>
        <w:shd w:val="clear" w:color="auto" w:fill="FDFEFE"/>
        <w:spacing w:before="45" w:after="45" w:line="240" w:lineRule="auto"/>
        <w:outlineLvl w:val="1"/>
        <w:rPr>
          <w:rFonts w:ascii="Arial" w:eastAsia="Times New Roman" w:hAnsi="Arial" w:cs="Arial"/>
          <w:b/>
          <w:bCs/>
          <w:color w:val="204460"/>
          <w:sz w:val="24"/>
          <w:szCs w:val="24"/>
          <w:lang w:eastAsia="it-IT"/>
        </w:rPr>
      </w:pPr>
      <w:r w:rsidRPr="009862F7">
        <w:rPr>
          <w:rFonts w:ascii="Arial" w:eastAsia="Times New Roman" w:hAnsi="Arial" w:cs="Arial"/>
          <w:b/>
          <w:bCs/>
          <w:color w:val="204460"/>
          <w:sz w:val="24"/>
          <w:szCs w:val="24"/>
          <w:lang w:eastAsia="it-IT"/>
        </w:rPr>
        <w:t>Prevenzione della corruzione</w:t>
      </w:r>
    </w:p>
    <w:p w:rsidR="009862F7" w:rsidRPr="009862F7" w:rsidRDefault="009862F7" w:rsidP="009862F7">
      <w:pPr>
        <w:shd w:val="clear" w:color="auto" w:fill="FDFEFE"/>
        <w:spacing w:after="0" w:line="240" w:lineRule="auto"/>
        <w:rPr>
          <w:rFonts w:ascii="Tahoma" w:eastAsia="Times New Roman" w:hAnsi="Tahoma" w:cs="Tahoma"/>
          <w:i/>
          <w:iCs/>
          <w:color w:val="445864"/>
          <w:sz w:val="17"/>
          <w:szCs w:val="17"/>
          <w:lang w:eastAsia="it-IT"/>
        </w:rPr>
      </w:pPr>
      <w:r w:rsidRPr="009862F7">
        <w:rPr>
          <w:rFonts w:ascii="Tahoma" w:eastAsia="Times New Roman" w:hAnsi="Tahoma" w:cs="Tahoma"/>
          <w:i/>
          <w:iCs/>
          <w:color w:val="445864"/>
          <w:sz w:val="17"/>
          <w:szCs w:val="17"/>
          <w:lang w:eastAsia="it-IT"/>
        </w:rPr>
        <w:t>Ultimo aggiornamento Giovedì 30 Gennaio 2020 12:19</w:t>
      </w:r>
    </w:p>
    <w:p w:rsidR="009862F7" w:rsidRPr="009862F7" w:rsidRDefault="009862F7" w:rsidP="009862F7">
      <w:pPr>
        <w:shd w:val="clear" w:color="auto" w:fill="FDFEFE"/>
        <w:spacing w:after="0" w:line="240" w:lineRule="auto"/>
        <w:rPr>
          <w:rFonts w:ascii="Tahoma" w:eastAsia="Times New Roman" w:hAnsi="Tahoma" w:cs="Tahoma"/>
          <w:color w:val="34434C"/>
          <w:sz w:val="17"/>
          <w:szCs w:val="17"/>
          <w:lang w:eastAsia="it-IT"/>
        </w:rPr>
      </w:pPr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>Riferimento normativo: </w:t>
      </w:r>
      <w:hyperlink r:id="rId4" w:anchor="art" w:tgtFrame="_blank" w:history="1">
        <w:r w:rsidRPr="009862F7">
          <w:rPr>
            <w:rFonts w:ascii="Tahoma" w:eastAsia="Times New Roman" w:hAnsi="Tahoma" w:cs="Tahoma"/>
            <w:color w:val="303E46"/>
            <w:sz w:val="17"/>
            <w:u w:val="single"/>
            <w:lang w:eastAsia="it-IT"/>
          </w:rPr>
          <w:t xml:space="preserve">Art. 43 c. 1 </w:t>
        </w:r>
        <w:proofErr w:type="spellStart"/>
        <w:r w:rsidRPr="009862F7">
          <w:rPr>
            <w:rFonts w:ascii="Tahoma" w:eastAsia="Times New Roman" w:hAnsi="Tahoma" w:cs="Tahoma"/>
            <w:color w:val="303E46"/>
            <w:sz w:val="17"/>
            <w:u w:val="single"/>
            <w:lang w:eastAsia="it-IT"/>
          </w:rPr>
          <w:t>D.Lgs</w:t>
        </w:r>
        <w:proofErr w:type="spellEnd"/>
        <w:r w:rsidRPr="009862F7">
          <w:rPr>
            <w:rFonts w:ascii="Tahoma" w:eastAsia="Times New Roman" w:hAnsi="Tahoma" w:cs="Tahoma"/>
            <w:color w:val="303E46"/>
            <w:sz w:val="17"/>
            <w:u w:val="single"/>
            <w:lang w:eastAsia="it-IT"/>
          </w:rPr>
          <w:t xml:space="preserve"> 33/2013</w:t>
        </w:r>
      </w:hyperlink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 xml:space="preserve"> - delibera CIVIT n. 105/2010 e n. 2/2012 - Art. 1 c. 14 L. 190/2012 - Art. 18 c. 5 </w:t>
      </w:r>
      <w:proofErr w:type="spellStart"/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>D.Lgs</w:t>
      </w:r>
      <w:proofErr w:type="spellEnd"/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 xml:space="preserve"> 39/2013</w:t>
      </w:r>
    </w:p>
    <w:p w:rsidR="009862F7" w:rsidRPr="009862F7" w:rsidRDefault="009862F7" w:rsidP="009862F7">
      <w:pPr>
        <w:shd w:val="clear" w:color="auto" w:fill="FDFEFE"/>
        <w:spacing w:before="180" w:after="180" w:line="240" w:lineRule="auto"/>
        <w:rPr>
          <w:rFonts w:ascii="Tahoma" w:eastAsia="Times New Roman" w:hAnsi="Tahoma" w:cs="Tahoma"/>
          <w:color w:val="34434C"/>
          <w:sz w:val="17"/>
          <w:szCs w:val="17"/>
          <w:lang w:eastAsia="it-IT"/>
        </w:rPr>
      </w:pPr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> </w:t>
      </w:r>
    </w:p>
    <w:p w:rsidR="009862F7" w:rsidRPr="009862F7" w:rsidRDefault="009862F7" w:rsidP="009862F7">
      <w:pPr>
        <w:shd w:val="clear" w:color="auto" w:fill="FDFEFE"/>
        <w:spacing w:before="180" w:after="180" w:line="240" w:lineRule="auto"/>
        <w:rPr>
          <w:rFonts w:ascii="Tahoma" w:eastAsia="Times New Roman" w:hAnsi="Tahoma" w:cs="Tahoma"/>
          <w:color w:val="34434C"/>
          <w:sz w:val="17"/>
          <w:szCs w:val="17"/>
          <w:lang w:eastAsia="it-IT"/>
        </w:rPr>
      </w:pPr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> </w:t>
      </w:r>
    </w:p>
    <w:p w:rsidR="009862F7" w:rsidRPr="009862F7" w:rsidRDefault="009862F7" w:rsidP="009862F7">
      <w:pPr>
        <w:shd w:val="clear" w:color="auto" w:fill="FDFEFE"/>
        <w:spacing w:before="180" w:after="180" w:line="240" w:lineRule="auto"/>
        <w:rPr>
          <w:rFonts w:ascii="Tahoma" w:eastAsia="Times New Roman" w:hAnsi="Tahoma" w:cs="Tahoma"/>
          <w:color w:val="34434C"/>
          <w:sz w:val="17"/>
          <w:szCs w:val="17"/>
          <w:lang w:eastAsia="it-IT"/>
        </w:rPr>
      </w:pPr>
      <w:r w:rsidRPr="009862F7">
        <w:rPr>
          <w:rFonts w:ascii="Tahoma" w:eastAsia="Times New Roman" w:hAnsi="Tahoma" w:cs="Tahoma"/>
          <w:b/>
          <w:bCs/>
          <w:color w:val="34434C"/>
          <w:sz w:val="27"/>
          <w:lang w:eastAsia="it-IT"/>
        </w:rPr>
        <w:t>WHISTLEBLOWING</w:t>
      </w:r>
    </w:p>
    <w:p w:rsidR="009862F7" w:rsidRPr="009862F7" w:rsidRDefault="009862F7" w:rsidP="009862F7">
      <w:pPr>
        <w:shd w:val="clear" w:color="auto" w:fill="FDFEFE"/>
        <w:spacing w:before="180" w:after="180" w:line="240" w:lineRule="auto"/>
        <w:rPr>
          <w:rFonts w:ascii="Tahoma" w:eastAsia="Times New Roman" w:hAnsi="Tahoma" w:cs="Tahoma"/>
          <w:color w:val="34434C"/>
          <w:sz w:val="17"/>
          <w:szCs w:val="17"/>
          <w:lang w:eastAsia="it-IT"/>
        </w:rPr>
      </w:pPr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 xml:space="preserve">L’articolo 54-bis del </w:t>
      </w:r>
      <w:proofErr w:type="spellStart"/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>D.lgs</w:t>
      </w:r>
      <w:proofErr w:type="spellEnd"/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 xml:space="preserve"> n. 165/2001 (Tutela del dipendente pubblico che segnala illeciti) prevede che:“</w:t>
      </w:r>
    </w:p>
    <w:p w:rsidR="009862F7" w:rsidRPr="009862F7" w:rsidRDefault="009862F7" w:rsidP="009862F7">
      <w:pPr>
        <w:shd w:val="clear" w:color="auto" w:fill="FDFEFE"/>
        <w:spacing w:before="180" w:after="180" w:line="240" w:lineRule="auto"/>
        <w:rPr>
          <w:rFonts w:ascii="Tahoma" w:eastAsia="Times New Roman" w:hAnsi="Tahoma" w:cs="Tahoma"/>
          <w:color w:val="34434C"/>
          <w:sz w:val="17"/>
          <w:szCs w:val="17"/>
          <w:lang w:eastAsia="it-IT"/>
        </w:rPr>
      </w:pPr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>1. Fuori dei casi di responsabilità a titolo di calunnia o diffamazione, ovvero per lo stesso titolo a i sensi dell’articolo 2043 del codice civile, il pubblico dipendente che denuncia all’autorità giudiziaria o alla Corte dei conti, ovvero riferisce al proprio superiore gerarchico condotte illecite di cui sia venuto a conoscenza in ragione del rapporto di lavoro, non può essere sanzionato, licenziato o sottoposto ad una misura discriminatoria, diretta o indiretta, avente effetti sulle condizioni di lavoro per motivi collegati direttamente o indirettamente alla denuncia.</w:t>
      </w:r>
    </w:p>
    <w:p w:rsidR="009862F7" w:rsidRPr="009862F7" w:rsidRDefault="009862F7" w:rsidP="009862F7">
      <w:pPr>
        <w:shd w:val="clear" w:color="auto" w:fill="FDFEFE"/>
        <w:spacing w:before="180" w:after="180" w:line="240" w:lineRule="auto"/>
        <w:rPr>
          <w:rFonts w:ascii="Tahoma" w:eastAsia="Times New Roman" w:hAnsi="Tahoma" w:cs="Tahoma"/>
          <w:color w:val="34434C"/>
          <w:sz w:val="17"/>
          <w:szCs w:val="17"/>
          <w:lang w:eastAsia="it-IT"/>
        </w:rPr>
      </w:pPr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>2. Nell’ambito del procedimento disciplinare, l’identità del segnalante non può essere rivelata, senza il suo consenso, sempre che la contestazione dell’addebito disciplinare sia fondata su accertamenti distinti e ulteriori rispetto alla segnalazione. Qualora la contestazione sia fondata, in tutto o in parte, sulla segnalazione, l’identità può essere rivelata ove la sua conoscenza sia assolutamente indispensabile per la difesa dell’incolpato.</w:t>
      </w:r>
    </w:p>
    <w:p w:rsidR="009862F7" w:rsidRPr="009862F7" w:rsidRDefault="009862F7" w:rsidP="009862F7">
      <w:pPr>
        <w:shd w:val="clear" w:color="auto" w:fill="FDFEFE"/>
        <w:spacing w:before="180" w:after="180" w:line="240" w:lineRule="auto"/>
        <w:rPr>
          <w:rFonts w:ascii="Tahoma" w:eastAsia="Times New Roman" w:hAnsi="Tahoma" w:cs="Tahoma"/>
          <w:color w:val="34434C"/>
          <w:sz w:val="17"/>
          <w:szCs w:val="17"/>
          <w:lang w:eastAsia="it-IT"/>
        </w:rPr>
      </w:pPr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>3. L’adozione di misure discriminatorie è segnalata al Dipartimento della funzione pubblica, per i provvedimenti di competenza, dall’interessato o dal le organizzazioni sindacali maggiormente rappresentative nell’amministrazione nella quale le stesse sono state poste in essere.</w:t>
      </w:r>
    </w:p>
    <w:p w:rsidR="009862F7" w:rsidRPr="009862F7" w:rsidRDefault="009862F7" w:rsidP="009862F7">
      <w:pPr>
        <w:shd w:val="clear" w:color="auto" w:fill="FDFEFE"/>
        <w:spacing w:before="180" w:after="180" w:line="240" w:lineRule="auto"/>
        <w:rPr>
          <w:rFonts w:ascii="Tahoma" w:eastAsia="Times New Roman" w:hAnsi="Tahoma" w:cs="Tahoma"/>
          <w:color w:val="34434C"/>
          <w:sz w:val="17"/>
          <w:szCs w:val="17"/>
          <w:lang w:eastAsia="it-IT"/>
        </w:rPr>
      </w:pPr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 xml:space="preserve">4. La denuncia è sottratta all’accesso previsto dagli articoli 22 e seguenti della legge 7 agosto 1990, n.241, e successive modificazioni” Il </w:t>
      </w:r>
      <w:proofErr w:type="spellStart"/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>whistleblower</w:t>
      </w:r>
      <w:proofErr w:type="spellEnd"/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 xml:space="preserve"> è colui il quale testimonia un illecito o un’irregolarità durante lo svolgimento delle E proprie mansioni lavorative e decide di segnalarlo a un soggetto che possa agire efficacemente al riguardo.</w:t>
      </w:r>
    </w:p>
    <w:p w:rsidR="009862F7" w:rsidRPr="009862F7" w:rsidRDefault="009862F7" w:rsidP="009862F7">
      <w:pPr>
        <w:shd w:val="clear" w:color="auto" w:fill="FDFEFE"/>
        <w:spacing w:before="180" w:after="180" w:line="240" w:lineRule="auto"/>
        <w:rPr>
          <w:rFonts w:ascii="Tahoma" w:eastAsia="Times New Roman" w:hAnsi="Tahoma" w:cs="Tahoma"/>
          <w:color w:val="34434C"/>
          <w:sz w:val="17"/>
          <w:szCs w:val="17"/>
          <w:lang w:eastAsia="it-IT"/>
        </w:rPr>
      </w:pPr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 xml:space="preserve">Il </w:t>
      </w:r>
      <w:proofErr w:type="spellStart"/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>whistleblowing</w:t>
      </w:r>
      <w:proofErr w:type="spellEnd"/>
      <w:r w:rsidRPr="009862F7">
        <w:rPr>
          <w:rFonts w:ascii="Tahoma" w:eastAsia="Times New Roman" w:hAnsi="Tahoma" w:cs="Tahoma"/>
          <w:color w:val="34434C"/>
          <w:sz w:val="17"/>
          <w:szCs w:val="17"/>
          <w:lang w:eastAsia="it-IT"/>
        </w:rPr>
        <w:t xml:space="preserve"> consiste nelle attività di regolamentazione delle procedure volte a incentivare e proteggere tali segnalazioni. Vengono considerate rilevanti le segnalazioni che riguardano oggettivi comportamenti, rischi, reati o irregolarità a danno dell’interesse dell’Ente (e non quelle relative a soggettive lamentele personali). La segnalazione si configura essenzialmente come uno strumento preventivo dal momento che la sua funzione primaria è quella di portare all’attenzione dell’organismo preposto i possibili rischi di illecito o negligenza di cui si è venuti a conoscenza.</w:t>
      </w:r>
    </w:p>
    <w:p w:rsidR="001B0329" w:rsidRDefault="001B0329"/>
    <w:sectPr w:rsidR="001B0329" w:rsidSect="001B03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62F7"/>
    <w:rsid w:val="001B0329"/>
    <w:rsid w:val="009862F7"/>
    <w:rsid w:val="00B9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29"/>
  </w:style>
  <w:style w:type="paragraph" w:styleId="Titolo2">
    <w:name w:val="heading 2"/>
    <w:basedOn w:val="Normale"/>
    <w:link w:val="Titolo2Carattere"/>
    <w:uiPriority w:val="9"/>
    <w:qFormat/>
    <w:rsid w:val="00986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862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62F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86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mattiva.it/atto/caricaArticolo?art.progressivo=0&amp;art.idArticolo=42&amp;art.versione=1&amp;art.codiceRedazionale=13G00076&amp;art.dataPubblicazioneGazzetta=2013-04-05&amp;atto.tipoProvvedimento=DECRETO%20LEGISLATIVO&amp;art.idGruppo=5&amp;art.idSottoArticolo1=10&amp;art.idSottoArticolo=1&amp;art.flagTipoArticolo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Magliano</dc:creator>
  <cp:keywords/>
  <dc:description/>
  <cp:lastModifiedBy>Magliano</cp:lastModifiedBy>
  <cp:revision>2</cp:revision>
  <dcterms:created xsi:type="dcterms:W3CDTF">2020-01-30T10:56:00Z</dcterms:created>
  <dcterms:modified xsi:type="dcterms:W3CDTF">2020-01-30T10:56:00Z</dcterms:modified>
</cp:coreProperties>
</file>